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rozgraniczenia nieruchomości oznaczonej w ewidencji gruntów m. </w:t>
      </w:r>
      <w:r w:rsidR="00A33227">
        <w:rPr>
          <w:rFonts w:ascii="Times New Roman" w:hAnsi="Times New Roman" w:cs="Times New Roman"/>
          <w:sz w:val="24"/>
          <w:szCs w:val="24"/>
        </w:rPr>
        <w:t>Człopy</w:t>
      </w:r>
      <w:r w:rsidR="005E1505">
        <w:rPr>
          <w:rFonts w:ascii="Times New Roman" w:hAnsi="Times New Roman" w:cs="Times New Roman"/>
          <w:sz w:val="24"/>
          <w:szCs w:val="24"/>
        </w:rPr>
        <w:t xml:space="preserve"> jako: 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505">
        <w:rPr>
          <w:rFonts w:ascii="Times New Roman" w:hAnsi="Times New Roman" w:cs="Times New Roman"/>
          <w:sz w:val="24"/>
          <w:szCs w:val="24"/>
        </w:rPr>
        <w:t>działka ewidencyjna nr</w:t>
      </w:r>
      <w:r w:rsidR="00C31EA4">
        <w:rPr>
          <w:rFonts w:ascii="Times New Roman" w:hAnsi="Times New Roman" w:cs="Times New Roman"/>
          <w:sz w:val="24"/>
          <w:szCs w:val="24"/>
        </w:rPr>
        <w:t xml:space="preserve"> </w:t>
      </w:r>
      <w:r w:rsidR="00A33227">
        <w:rPr>
          <w:rFonts w:ascii="Times New Roman" w:hAnsi="Times New Roman" w:cs="Times New Roman"/>
          <w:sz w:val="24"/>
          <w:szCs w:val="24"/>
        </w:rPr>
        <w:t>14</w:t>
      </w:r>
      <w:r w:rsidR="00E95040">
        <w:rPr>
          <w:rFonts w:ascii="Times New Roman" w:hAnsi="Times New Roman" w:cs="Times New Roman"/>
          <w:sz w:val="24"/>
          <w:szCs w:val="24"/>
        </w:rPr>
        <w:t>9</w:t>
      </w:r>
      <w:r w:rsidRPr="005E1505">
        <w:rPr>
          <w:rFonts w:ascii="Times New Roman" w:hAnsi="Times New Roman" w:cs="Times New Roman"/>
          <w:sz w:val="24"/>
          <w:szCs w:val="24"/>
        </w:rPr>
        <w:t xml:space="preserve"> a gruntami sąsiadującymi tj. działk</w:t>
      </w:r>
      <w:r w:rsidR="00A33227">
        <w:rPr>
          <w:rFonts w:ascii="Times New Roman" w:hAnsi="Times New Roman" w:cs="Times New Roman"/>
          <w:sz w:val="24"/>
          <w:szCs w:val="24"/>
        </w:rPr>
        <w:t>ą</w:t>
      </w:r>
      <w:r w:rsidRPr="005E1505">
        <w:rPr>
          <w:rFonts w:ascii="Times New Roman" w:hAnsi="Times New Roman" w:cs="Times New Roman"/>
          <w:sz w:val="24"/>
          <w:szCs w:val="24"/>
        </w:rPr>
        <w:t xml:space="preserve"> o nr </w:t>
      </w:r>
      <w:r w:rsidR="00A33227">
        <w:rPr>
          <w:rFonts w:ascii="Times New Roman" w:hAnsi="Times New Roman" w:cs="Times New Roman"/>
          <w:sz w:val="24"/>
          <w:szCs w:val="24"/>
        </w:rPr>
        <w:t>148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61CC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trybie ustawy Prawo Geodezyjne i Kartograficzne oraz Rozporządzenia Ministrów Spraw Wewnętrznych i Administracji oraz Rolnictwa i Gospodarki Żywnościowej w sprawie rozgraniczenia nieruchomości.</w:t>
      </w:r>
    </w:p>
    <w:p w:rsidR="00F16A53" w:rsidRDefault="00F16A53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stanu prawnego nieruchomości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terminu i przeprowadzenie czynności rozgraniczeniowych na gruncie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stosownej dokumentacji geodezyjnej celem wydania decyzji administracyjnej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276108"/>
    <w:rsid w:val="003261CC"/>
    <w:rsid w:val="003735F6"/>
    <w:rsid w:val="005E1505"/>
    <w:rsid w:val="005E3422"/>
    <w:rsid w:val="00762C44"/>
    <w:rsid w:val="009C07A0"/>
    <w:rsid w:val="009E4240"/>
    <w:rsid w:val="00A33227"/>
    <w:rsid w:val="00A925D1"/>
    <w:rsid w:val="00C31EA4"/>
    <w:rsid w:val="00E95040"/>
    <w:rsid w:val="00F16A53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13</cp:revision>
  <cp:lastPrinted>2021-05-11T08:00:00Z</cp:lastPrinted>
  <dcterms:created xsi:type="dcterms:W3CDTF">2017-10-26T12:18:00Z</dcterms:created>
  <dcterms:modified xsi:type="dcterms:W3CDTF">2021-05-13T11:13:00Z</dcterms:modified>
</cp:coreProperties>
</file>