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12EA2">
        <w:rPr>
          <w:rFonts w:ascii="Times New Roman" w:hAnsi="Times New Roman" w:cs="Times New Roman"/>
          <w:sz w:val="22"/>
          <w:szCs w:val="22"/>
        </w:rPr>
        <w:t>03.02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bookmarkStart w:id="0" w:name="_GoBack"/>
      <w:bookmarkEnd w:id="0"/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12EA2">
        <w:rPr>
          <w:rFonts w:ascii="Times New Roman" w:hAnsi="Times New Roman" w:cs="Times New Roman"/>
          <w:b/>
          <w:sz w:val="22"/>
          <w:szCs w:val="22"/>
        </w:rPr>
        <w:t>1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A12EA2">
        <w:rPr>
          <w:b/>
        </w:rPr>
        <w:t>budowy</w:t>
      </w:r>
      <w:r w:rsidR="00A12EA2" w:rsidRPr="00A12EA2">
        <w:rPr>
          <w:b/>
        </w:rPr>
        <w:t xml:space="preserve"> elektroenergetycznej linii kablowej niskiego napięcia, na częściach działek nr </w:t>
      </w:r>
      <w:proofErr w:type="spellStart"/>
      <w:r w:rsidR="00A12EA2" w:rsidRPr="00A12EA2">
        <w:rPr>
          <w:b/>
        </w:rPr>
        <w:t>ewid</w:t>
      </w:r>
      <w:proofErr w:type="spellEnd"/>
      <w:r w:rsidR="00A12EA2" w:rsidRPr="00A12EA2">
        <w:rPr>
          <w:b/>
        </w:rPr>
        <w:t>. 270/3, 270/4, 278 i 252 obręb Kuczki,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350" w:rsidRDefault="005A4350" w:rsidP="00163FBE">
      <w:r>
        <w:separator/>
      </w:r>
    </w:p>
  </w:endnote>
  <w:endnote w:type="continuationSeparator" w:id="0">
    <w:p w:rsidR="005A4350" w:rsidRDefault="005A435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350" w:rsidRDefault="005A4350" w:rsidP="00163FBE">
      <w:r>
        <w:separator/>
      </w:r>
    </w:p>
  </w:footnote>
  <w:footnote w:type="continuationSeparator" w:id="0">
    <w:p w:rsidR="005A4350" w:rsidRDefault="005A435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A6F2E-3060-4B0F-AA30-EAD978FCA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104</cp:revision>
  <cp:lastPrinted>2024-11-14T13:22:00Z</cp:lastPrinted>
  <dcterms:created xsi:type="dcterms:W3CDTF">2016-11-15T09:41:00Z</dcterms:created>
  <dcterms:modified xsi:type="dcterms:W3CDTF">2025-02-03T10:47:00Z</dcterms:modified>
</cp:coreProperties>
</file>