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C67B29">
        <w:rPr>
          <w:rFonts w:ascii="Times New Roman" w:hAnsi="Times New Roman" w:cs="Times New Roman"/>
          <w:sz w:val="22"/>
          <w:szCs w:val="22"/>
        </w:rPr>
        <w:t>16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</w:t>
      </w:r>
      <w:r w:rsidR="00C67B29">
        <w:rPr>
          <w:rFonts w:ascii="Times New Roman" w:hAnsi="Times New Roman" w:cs="Times New Roman"/>
          <w:sz w:val="22"/>
          <w:szCs w:val="22"/>
        </w:rPr>
        <w:t>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67B29">
        <w:rPr>
          <w:rFonts w:ascii="Times New Roman" w:hAnsi="Times New Roman" w:cs="Times New Roman"/>
          <w:b/>
          <w:sz w:val="22"/>
          <w:szCs w:val="22"/>
        </w:rPr>
        <w:t>1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B7045" w:rsidRPr="00DB7045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C67B29" w:rsidRPr="00C67B29">
        <w:rPr>
          <w:b/>
        </w:rPr>
        <w:t>budow</w:t>
      </w:r>
      <w:r w:rsidR="00C67B29">
        <w:rPr>
          <w:b/>
        </w:rPr>
        <w:t>y</w:t>
      </w:r>
      <w:r w:rsidR="00C67B29" w:rsidRPr="00C67B29">
        <w:rPr>
          <w:b/>
        </w:rPr>
        <w:t xml:space="preserve"> elektroenergetycznej linii kablowej niskiego napięcia, na części działki nr ewid. 370 obręb Spycimierz,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4F0A" w:rsidRDefault="00614F0A" w:rsidP="00163FBE">
      <w:r>
        <w:separator/>
      </w:r>
    </w:p>
  </w:endnote>
  <w:endnote w:type="continuationSeparator" w:id="0">
    <w:p w:rsidR="00614F0A" w:rsidRDefault="00614F0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4F0A" w:rsidRDefault="00614F0A" w:rsidP="00163FBE">
      <w:r>
        <w:separator/>
      </w:r>
    </w:p>
  </w:footnote>
  <w:footnote w:type="continuationSeparator" w:id="0">
    <w:p w:rsidR="00614F0A" w:rsidRDefault="00614F0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B43F0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14F0A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67B29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769D2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2</Pages>
  <Words>839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150</cp:revision>
  <cp:lastPrinted>2025-10-01T08:14:00Z</cp:lastPrinted>
  <dcterms:created xsi:type="dcterms:W3CDTF">2016-11-15T09:21:00Z</dcterms:created>
  <dcterms:modified xsi:type="dcterms:W3CDTF">2026-03-16T10:25:00Z</dcterms:modified>
</cp:coreProperties>
</file>