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3A7C50B8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2750A6">
        <w:rPr>
          <w:rFonts w:ascii="Arial" w:eastAsia="Times New Roman" w:hAnsi="Arial" w:cs="Arial"/>
          <w:lang w:eastAsia="pl-PL"/>
        </w:rPr>
        <w:t>20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2750A6">
        <w:rPr>
          <w:rFonts w:ascii="Arial" w:eastAsia="Times New Roman" w:hAnsi="Arial" w:cs="Arial"/>
          <w:lang w:eastAsia="pl-PL"/>
        </w:rPr>
        <w:t>7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1455B1E6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2750A6">
        <w:rPr>
          <w:rFonts w:ascii="Arial" w:eastAsia="Times New Roman" w:hAnsi="Arial" w:cs="Arial"/>
          <w:b/>
          <w:lang w:eastAsia="pl-PL"/>
        </w:rPr>
        <w:t>4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1DA59E" w14:textId="0F7E9567" w:rsidR="00017801" w:rsidRPr="00AA5871" w:rsidRDefault="00A9377E" w:rsidP="00AA5871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2750A6" w:rsidRPr="002750A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2750A6" w:rsidRPr="002750A6">
        <w:rPr>
          <w:rFonts w:ascii="Arial" w:eastAsia="Times New Roman" w:hAnsi="Arial" w:cs="Arial"/>
          <w:b/>
          <w:lang w:eastAsia="pl-PL"/>
        </w:rPr>
        <w:t>budowa elektroenergetycznej linii kablowej niskiego napięcia, na części działki nr ewid. 11/2 obręb Czekaj, gm. Uniejów.</w:t>
      </w:r>
    </w:p>
    <w:p w14:paraId="11676DFA" w14:textId="77777777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750A6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06933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95</cp:revision>
  <cp:lastPrinted>2026-06-15T10:14:00Z</cp:lastPrinted>
  <dcterms:created xsi:type="dcterms:W3CDTF">2018-09-17T12:52:00Z</dcterms:created>
  <dcterms:modified xsi:type="dcterms:W3CDTF">2026-07-20T13:42:00Z</dcterms:modified>
</cp:coreProperties>
</file>